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D77" w:rsidP="00290B55" w:rsidRDefault="00DC05B0">
      <w:pPr>
        <w:pStyle w:val="Heading110"/>
        <w:shd w:val="clear" w:color="auto" w:fill="auto"/>
        <w:spacing w:after="120" w:line="276" w:lineRule="auto"/>
        <w:rPr>
          <w:color w:val="000000"/>
        </w:rPr>
      </w:pPr>
      <w:bookmarkStart w:id="0" w:name="bookmark0"/>
      <w:r>
        <w:rPr>
          <w:color w:val="000000"/>
        </w:rPr>
        <w:t xml:space="preserve">Klimata politikas simulācija: attīstītās valstis</w:t>
      </w:r>
      <w:bookmarkEnd w:id="0"/>
    </w:p>
    <w:tbl>
      <w:tblPr>
        <w:tblStyle w:val="TableGrid"/>
        <w:tblW w:w="97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660"/>
        <w:gridCol w:w="1134"/>
        <w:gridCol w:w="5953"/>
      </w:tblGrid>
      <w:tr w:rsidR="004D0CFD" w:rsidTr="00290B55">
        <w:trPr>
          <w:trHeight w:val="725"/>
        </w:trPr>
        <w:tc>
          <w:tcPr>
            <w:tcW w:w="2660" w:type="dxa"/>
            <w:vMerge w:val="restart"/>
          </w:tcPr>
          <w:p w:rsidRPr="00290B55" w:rsidR="004D0CFD" w:rsidP="004D0CFD" w:rsidRDefault="0091067F">
            <w:pPr>
              <w:rPr>
                <w:sz w:val="16"/>
                <w:szCs w:val="16"/>
              </w:rPr>
            </w:pPr>
            <w:r>
              <w:rPr>
                <w:sz w:val="16"/>
                <w:szCs w:val="16"/>
              </w:rPr>
              <w:drawing>
                <wp:anchor distT="0" distB="0" distL="63500" distR="63500" simplePos="0" relativeHeight="377491201" behindDoc="1" locked="0" layoutInCell="1" allowOverlap="1" wp14:editId="37D0F14E" wp14:anchorId="48386D96">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rsidRPr="00290B55" w:rsidR="004D0CFD" w:rsidP="00290B55" w:rsidRDefault="004D0CFD">
            <w:pPr>
              <w:spacing w:before="120"/>
              <w:rPr>
                <w:b/>
              </w:rPr>
            </w:pPr>
            <w:r>
              <w:rPr>
                <w:b/>
                <w:color w:val="000000"/>
              </w:rPr>
              <w:t xml:space="preserve">Adresāts:</w:t>
            </w:r>
            <w:r>
              <w:rPr>
                <w:b/>
                <w:color w:val="000000"/>
              </w:rPr>
              <w:t xml:space="preserve"> </w:t>
            </w:r>
          </w:p>
        </w:tc>
        <w:tc>
          <w:tcPr>
            <w:tcW w:w="5953" w:type="dxa"/>
          </w:tcPr>
          <w:p w:rsidRPr="00290B55" w:rsidR="004D0CFD" w:rsidP="00290B55" w:rsidRDefault="004D0CFD">
            <w:pPr>
              <w:spacing w:before="120"/>
              <w:rPr>
                <w:b/>
                <w:color w:val="000000"/>
              </w:rPr>
            </w:pPr>
            <w:r>
              <w:rPr>
                <w:b/>
                <w:color w:val="000000"/>
              </w:rPr>
              <w:t xml:space="preserve">Sarunu vadītāji, kas pārstāv attīstītās valstis</w:t>
            </w:r>
          </w:p>
          <w:p w:rsidR="004D0CFD" w:rsidP="004D0CFD" w:rsidRDefault="004D0CFD">
            <w:r>
              <w:rPr>
                <w:color w:val="000000"/>
              </w:rPr>
              <w:t xml:space="preserve">(ASV, Kanāda, Eiropas Savienība, Japāna, Krievija un citas bijušās Padomju Savienības republikas, Dienvidkoreja, Austrālija, Jaunzēlande)</w:t>
            </w:r>
          </w:p>
        </w:tc>
      </w:tr>
      <w:tr w:rsidR="004D0CFD" w:rsidTr="00290B55">
        <w:trPr>
          <w:trHeight w:val="725"/>
        </w:trPr>
        <w:tc>
          <w:tcPr>
            <w:tcW w:w="2660" w:type="dxa"/>
            <w:vMerge/>
          </w:tcPr>
          <w:p w:rsidRPr="004D0CFD" w:rsidR="004D0CFD" w:rsidP="004D0CFD" w:rsidRDefault="004D0CFD">
            <w:pPr>
              <w:rPr>
                <w:lang w:bidi="en-US"/>
              </w:rPr>
            </w:pPr>
          </w:p>
        </w:tc>
        <w:tc>
          <w:tcPr>
            <w:tcW w:w="1134" w:type="dxa"/>
          </w:tcPr>
          <w:p w:rsidRPr="00290B55" w:rsidR="004D0CFD" w:rsidP="00290B55" w:rsidRDefault="004D0CFD">
            <w:pPr>
              <w:spacing w:before="120"/>
              <w:rPr>
                <w:b/>
                <w:color w:val="000000"/>
              </w:rPr>
            </w:pPr>
            <w:r>
              <w:rPr>
                <w:b/>
                <w:color w:val="000000"/>
              </w:rPr>
              <w:t xml:space="preserve">Temats:</w:t>
            </w:r>
          </w:p>
        </w:tc>
        <w:tc>
          <w:tcPr>
            <w:tcW w:w="5953" w:type="dxa"/>
          </w:tcPr>
          <w:p w:rsidRPr="00290B55" w:rsidR="004D0CFD" w:rsidP="00290B55" w:rsidRDefault="004D0CFD">
            <w:pPr>
              <w:spacing w:before="120"/>
              <w:rPr>
                <w:b/>
                <w:color w:val="000000"/>
              </w:rPr>
            </w:pPr>
            <w:r>
              <w:rPr>
                <w:b/>
                <w:color w:val="000000"/>
              </w:rPr>
              <w:t xml:space="preserve">Gatavošanās samitam par klimata politiku</w:t>
            </w:r>
          </w:p>
        </w:tc>
      </w:tr>
    </w:tbl>
    <w:p w:rsidRPr="00290B55" w:rsidR="004D0CFD" w:rsidP="00290B55" w:rsidRDefault="004D0CFD"/>
    <w:p w:rsidRPr="004D0CFD" w:rsidR="002C1D77" w:rsidP="00290B55" w:rsidRDefault="00DC05B0">
      <w:pPr>
        <w:spacing w:after="120"/>
      </w:pPr>
      <w:r>
        <w:t xml:space="preserve">Esiet sveicināti samitā par klimata politiku!</w:t>
      </w:r>
      <w:r>
        <w:t xml:space="preserve"> </w:t>
      </w:r>
      <w:r>
        <w:t xml:space="preserve">Jūs un visu ieinteresēto grupu vadītāji esat saņēmuši ANO ģenerālsekretāra uzaicinājumu sadarboties, lai sekmīgi risinātu klimata pārmaiņu jautājumu.</w:t>
      </w:r>
      <w:r>
        <w:t xml:space="preserve"> </w:t>
      </w:r>
      <w:r>
        <w:t xml:space="preserve">Ielūgumā ģenerālsekretārs </w:t>
      </w:r>
      <w:r>
        <w:rPr>
          <w:rStyle w:val="Bodytext2"/>
        </w:rPr>
        <w:t xml:space="preserve">ir norādījis</w:t>
      </w:r>
      <w:r>
        <w:t xml:space="preserve">: “Ārkārtas stāvoklis klimata jomā ir sacensība, kurā mēs šobrīd zaudējam, bet kurā mēs vēl varam uzvarēt (..).</w:t>
      </w:r>
      <w:r>
        <w:t xml:space="preserve"> </w:t>
      </w:r>
      <w:r>
        <w:t xml:space="preserve">Nopietni zinātniski pētījumi (..) liecina, ka temperatūras paaugstināšanās par vairāk nekā 1,5°C nodarīs milzīgu un neatgriezenisku kaitējumu ekosistēmām, kas mūs uztur (..).</w:t>
      </w:r>
      <w:r>
        <w:t xml:space="preserve"> </w:t>
      </w:r>
      <w:r>
        <w:t xml:space="preserve">Taču, pēc zinātnieku domām, vēl nav par vēlu.</w:t>
      </w:r>
      <w:r>
        <w:t xml:space="preserve"> </w:t>
      </w:r>
      <w:r>
        <w:t xml:space="preserve">Mēs to varam (..).</w:t>
      </w:r>
      <w:r>
        <w:t xml:space="preserve"> </w:t>
      </w:r>
      <w:r>
        <w:t xml:space="preserve">Taču būs nepieciešamas fundamentālas pārmaiņas visos sabiedrības uzvedības aspektos — būs jāmaina tas, kā audzējam pārtiku un izmantojam zemi, ar kādu degvielu darbinām transportu un kādu enerģiju nodrošinām ekonomikas vajadzībām (..).</w:t>
      </w:r>
      <w:r>
        <w:t xml:space="preserve"> </w:t>
      </w:r>
      <w:r>
        <w:t xml:space="preserve">Rīkodamies kopā, mēs nevienu neatstāsim novārtā.”</w:t>
      </w:r>
    </w:p>
    <w:p w:rsidRPr="004D0CFD" w:rsidR="002C1D77" w:rsidP="000A6D24" w:rsidRDefault="00DC05B0">
      <w:pPr>
        <w:spacing w:after="120" w:line="276" w:lineRule="auto"/>
      </w:pPr>
      <w:r>
        <w:rPr>
          <w:color w:val="000000"/>
        </w:rPr>
        <w:t xml:space="preserve">Samita mērķis ir izstrādāt plānu, kā ierobežot globālo sasilšanu, lai tā nepārsniegtu 2°C [3,6°F] salīdzinājumā ar pirmsindustriālā laikmeta līmeni, un censties panākt, lai tā nepārsniedz 1,5°C [2,7°F], proti, starptautiskos mērķus, kas oficiāli atzīti Parīzes nolīgumā par klimata pārmaiņām.</w:t>
      </w:r>
      <w:r>
        <w:rPr>
          <w:color w:val="000000"/>
        </w:rPr>
        <w:t xml:space="preserve"> </w:t>
      </w:r>
      <w:r>
        <w:rPr>
          <w:rStyle w:val="Bodytext2"/>
        </w:rPr>
        <w:t xml:space="preserve">Zinātniskie pierādījumi</w:t>
      </w:r>
      <w:r>
        <w:rPr>
          <w:color w:val="000000"/>
        </w:rPr>
        <w:t xml:space="preserve"> ir nepārprotami: sasilšana, kas pārsniedz minētās robežas, radīs katastrofālu un neatgriezenisku ietekmi, kura apdraudēs visu pasaules valstu iedzīvotāju veselību, labklājību un pat dzīvību.</w:t>
      </w:r>
    </w:p>
    <w:p w:rsidRPr="004D0CFD" w:rsidR="002C1D77" w:rsidP="00290B55" w:rsidRDefault="00DC05B0">
      <w:pPr>
        <w:spacing w:after="120" w:line="276" w:lineRule="auto"/>
      </w:pPr>
      <w:r>
        <w:rPr>
          <w:color w:val="000000"/>
        </w:rPr>
        <w:t xml:space="preserve">Jūs pārstāvat pasaules attīstītās valstis (iepriekš uzskaitītās).</w:t>
      </w:r>
      <w:r>
        <w:rPr>
          <w:color w:val="000000"/>
        </w:rPr>
        <w:t xml:space="preserve"> </w:t>
      </w:r>
      <w:r>
        <w:rPr>
          <w:color w:val="000000"/>
        </w:rPr>
        <w:t xml:space="preserve">Šajās valstīs kopā dzīvo 1,3 miljardi iedzīvotāju, kas ir aptuveni 17 % no kopējā iedzīvotāju skaita pasaulē (7,7 miljardi).</w:t>
      </w:r>
      <w:r>
        <w:rPr>
          <w:color w:val="000000"/>
        </w:rPr>
        <w:t xml:space="preserve"> </w:t>
      </w:r>
      <w:r>
        <w:rPr>
          <w:color w:val="000000"/>
        </w:rPr>
        <w:t xml:space="preserve">Kopā jūsu valstis rada 60 % pasaules ekonomikas produkcijas, to IKP (iekšzemes kopprodukts) uz vienu iedzīvotāju ir visaugstākais.</w:t>
      </w:r>
    </w:p>
    <w:p w:rsidRPr="004D0CFD" w:rsidR="002C1D77" w:rsidP="00290B55" w:rsidRDefault="00DC05B0">
      <w:pPr>
        <w:spacing w:after="120" w:line="276" w:lineRule="auto"/>
      </w:pPr>
      <w:r>
        <w:rPr>
          <w:color w:val="000000"/>
        </w:rPr>
        <w:t xml:space="preserve">Tālāk norādītas jūsu politikas prioritātes.</w:t>
      </w:r>
      <w:r>
        <w:rPr>
          <w:color w:val="000000"/>
        </w:rPr>
        <w:t xml:space="preserve"> </w:t>
      </w:r>
      <w:r>
        <w:rPr>
          <w:color w:val="000000"/>
        </w:rPr>
        <w:t xml:space="preserve">Jūs varat gan ierosināt, gan bloķēt jebkuru citu politikas pasākumu.</w:t>
      </w:r>
    </w:p>
    <w:p w:rsidRPr="007A09A4" w:rsidR="002C1D77" w:rsidP="00290B55" w:rsidRDefault="00DC05B0">
      <w:pPr>
        <w:numPr>
          <w:ilvl w:val="0"/>
          <w:numId w:val="1"/>
        </w:numPr>
        <w:spacing w:after="120" w:line="276" w:lineRule="auto"/>
        <w:ind w:left="403" w:hanging="403"/>
      </w:pPr>
      <w:r>
        <w:rPr>
          <w:color w:val="000000"/>
          <w:b/>
        </w:rPr>
        <w:t xml:space="preserve">Subsīdēt atjaunojamo energoresursu enerģijas ieguvi (piemēram, saules enerģijas, vēja enerģijas, ģeotermālās enerģijas, hidroenerģijas ieguvi un enerģijas uzglabāšanu).</w:t>
      </w:r>
      <w:r>
        <w:rPr>
          <w:color w:val="000000"/>
        </w:rPr>
        <w:t xml:space="preserve"> </w:t>
      </w:r>
      <w:r>
        <w:t xml:space="preserve">Atjaunojamo energoresursu nozare strauji attīstās, tomēr joprojām nodrošina mazāk par 5 % no enerģijas piedāvājuma pasaulē.</w:t>
      </w:r>
      <w:r>
        <w:t xml:space="preserve"> </w:t>
      </w:r>
      <w:r>
        <w:t xml:space="preserve">Subsīdijas palīdzēs šīm nozarēm augt, un jūsu valstīs radīsies darbvietas (ja vien jums izdosies apsteigt Ķīnā un citās jaunattīstības valstīs notiekošo vēja, saules un bateriju tehnoloģiju pilnveidi).</w:t>
      </w:r>
      <w:r>
        <w:t xml:space="preserve"> </w:t>
      </w:r>
      <w:r>
        <w:t xml:space="preserve">Uzglabāšana (piemēram, baterijas, siltumenerģijas uzkrāšana, hidroakumulācija) un viedtīklu tehnoloģijas dod iespēju enerģētikas sistēmā integrēt dažāda veida atjaunojamo energoresursu enerģiju, piemēram, vēja un saules enerģiju, un vienlaikus nodrošināt elektroenerģijas piegādi visu diennakti.</w:t>
      </w:r>
    </w:p>
    <w:p w:rsidRPr="00290B55" w:rsidR="002C1D77" w:rsidP="00290B55" w:rsidRDefault="00DC05B0">
      <w:pPr>
        <w:numPr>
          <w:ilvl w:val="0"/>
          <w:numId w:val="1"/>
        </w:numPr>
        <w:spacing w:after="120" w:line="276" w:lineRule="auto"/>
        <w:ind w:left="403" w:hanging="403"/>
        <w:rPr>
          <w:b/>
        </w:rPr>
      </w:pPr>
      <w:r>
        <w:rPr>
          <w:rStyle w:val="Bodytext2Bold"/>
        </w:rPr>
        <w:t xml:space="preserve">Atmežošanas samazināšana.</w:t>
      </w:r>
      <w:r>
        <w:t xml:space="preserve"> </w:t>
      </w:r>
      <w:r>
        <w:rPr>
          <w:color w:val="000000"/>
        </w:rPr>
        <w:t xml:space="preserve">Atmežošana šobrīd rada apmēram 15 % no siltumnīcefekta gāzu emisijām.</w:t>
      </w:r>
      <w:r>
        <w:rPr>
          <w:color w:val="000000"/>
        </w:rPr>
        <w:t xml:space="preserve"> </w:t>
      </w:r>
      <w:r>
        <w:rPr>
          <w:color w:val="000000"/>
        </w:rPr>
        <w:t xml:space="preserve">Atmežošana ļoti lielā apmērā notiek jaunattīstības valstu tropiskajos mežos, tostarp Amazones baseinā, Āfrikā, Dienvidāzijā un Dienvidaustrumāzijā.</w:t>
      </w:r>
      <w:r>
        <w:rPr>
          <w:color w:val="000000"/>
        </w:rPr>
        <w:t xml:space="preserve"> </w:t>
      </w:r>
      <w:r>
        <w:rPr>
          <w:color w:val="000000"/>
        </w:rPr>
        <w:t xml:space="preserve">Aizsargājot mežus, var samazināt šīs emisijas un vienlaikus saglabāt bioloģisko daudzveidību un nodrošināt ūdens piegādi.</w:t>
      </w:r>
    </w:p>
    <w:p w:rsidRPr="00290B55" w:rsidR="002C1D77" w:rsidP="00290B55" w:rsidRDefault="00DC05B0">
      <w:pPr>
        <w:numPr>
          <w:ilvl w:val="0"/>
          <w:numId w:val="1"/>
        </w:numPr>
        <w:spacing w:after="120" w:line="276" w:lineRule="auto"/>
        <w:ind w:left="403" w:hanging="403"/>
        <w:rPr>
          <w:b/>
        </w:rPr>
      </w:pPr>
      <w:r>
        <w:rPr>
          <w:rStyle w:val="Bodytext2Bold"/>
        </w:rPr>
        <w:t xml:space="preserve">Apsvērt apmežošanu.</w:t>
      </w:r>
      <w:r>
        <w:rPr>
          <w:rStyle w:val="Bodytext2Bold"/>
        </w:rPr>
        <w:t xml:space="preserve"> </w:t>
      </w:r>
      <w:r>
        <w:rPr>
          <w:color w:val="000000"/>
        </w:rPr>
        <w:t xml:space="preserve">Apmežošana ir jaunu mežu ieaudzēšana zemē, kurā nav koku; dažreiz tā iepriekš ir bijusi atmežota vai noplicināta zeme.</w:t>
      </w:r>
      <w:r>
        <w:rPr>
          <w:color w:val="000000"/>
        </w:rPr>
        <w:t xml:space="preserve"> </w:t>
      </w:r>
      <w:r>
        <w:t xml:space="preserve">Augot meži no atmosfēras piesaista CO</w:t>
      </w:r>
      <w:r>
        <w:rPr>
          <w:vertAlign w:val="subscript"/>
        </w:rPr>
        <w:t xml:space="preserve">2</w:t>
      </w:r>
      <w:r>
        <w:t xml:space="preserve"> un uzglabā to biomasā un augsnē.</w:t>
      </w:r>
      <w:r>
        <w:rPr>
          <w:color w:val="000000"/>
        </w:rPr>
        <w:t xml:space="preserve"> </w:t>
      </w:r>
      <w:r>
        <w:rPr>
          <w:color w:val="000000"/>
        </w:rPr>
        <w:t xml:space="preserve">Izvēršot apmežošanu plašā mērogā, varētu tikt izmantota zeme, kas vajadzīga kultūraugu vai mājlopu audzēšanai, un tādā veidā celtos pārtikas cenas.</w:t>
      </w:r>
      <w:r>
        <w:rPr>
          <w:color w:val="000000"/>
        </w:rPr>
        <w:t xml:space="preserve"> </w:t>
      </w:r>
      <w:r>
        <w:rPr>
          <w:color w:val="000000"/>
        </w:rPr>
        <w:t xml:space="preserve">Padomājiet, cik daudz zemes būs vajadzīgs jūsu un citu grupu ierosinātajai apmežošanas politikai.</w:t>
      </w:r>
    </w:p>
    <w:p w:rsidRPr="007A09A4" w:rsidR="002C1D77" w:rsidP="00290B55" w:rsidRDefault="00DC05B0">
      <w:pPr>
        <w:numPr>
          <w:ilvl w:val="0"/>
          <w:numId w:val="1"/>
        </w:numPr>
        <w:spacing w:after="120" w:line="276" w:lineRule="auto"/>
        <w:ind w:left="400" w:hanging="400"/>
      </w:pPr>
      <w:r>
        <w:rPr>
          <w:b/>
          <w:color w:val="000000"/>
        </w:rPr>
        <w:t xml:space="preserve">Metāna, dislāpekļa oksīda un citu siltumnīcefekta gāzu emisiju samazināšana.</w:t>
      </w:r>
      <w:r>
        <w:t xml:space="preserve"> </w:t>
      </w:r>
      <w:r>
        <w:t xml:space="preserve">CO</w:t>
      </w:r>
      <w:r>
        <w:rPr>
          <w:vertAlign w:val="subscript"/>
        </w:rPr>
        <w:t xml:space="preserve">2</w:t>
      </w:r>
      <w:r>
        <w:t xml:space="preserve"> ir visvairāk zināmā siltumnīcefekta gāze (SEG), taču aptuveni ceturto daļu no globālās sasilšanas izraisa citas gāzes.</w:t>
      </w:r>
      <w:r>
        <w:t xml:space="preserve"> </w:t>
      </w:r>
      <w:r>
        <w:t xml:space="preserve">Šīs gāzes ir metāns (CH</w:t>
      </w:r>
      <w:r>
        <w:rPr>
          <w:vertAlign w:val="subscript"/>
        </w:rPr>
        <w:t xml:space="preserve">4</w:t>
      </w:r>
      <w:r>
        <w:t xml:space="preserve">), dislāpekļa oksīds (N</w:t>
      </w:r>
      <w:r>
        <w:rPr>
          <w:vertAlign w:val="subscript"/>
        </w:rPr>
        <w:t xml:space="preserve">2</w:t>
      </w:r>
      <w:r>
        <w:t xml:space="preserve">O) un vesela virkne fluorogļūdeņražu un citu fluorētu savienojumu (tā saukto F gāzu).</w:t>
      </w:r>
      <w:r>
        <w:t xml:space="preserve"> </w:t>
      </w:r>
      <w:r>
        <w:t xml:space="preserve">Nākamo simts gadu laikā globālo sasilšanu desmitiem, simtiem un tūkstošiem reižu vairāk nekā CO</w:t>
      </w:r>
      <w:r>
        <w:rPr>
          <w:vertAlign w:val="subscript"/>
        </w:rPr>
        <w:t xml:space="preserve">2</w:t>
      </w:r>
      <w:r>
        <w:t xml:space="preserve"> maz pamazām veicinās arī daudzas citas gāzes.</w:t>
      </w:r>
      <w:r>
        <w:t xml:space="preserve"> </w:t>
      </w:r>
      <w:r>
        <w:t xml:space="preserve">Lai gan to koncentrācija ir neliela, tā strauji palielinās.</w:t>
      </w:r>
    </w:p>
    <w:p w:rsidRPr="007A09A4" w:rsidR="002C1D77" w:rsidP="00290B55" w:rsidRDefault="00DC05B0">
      <w:pPr>
        <w:keepLines/>
        <w:numPr>
          <w:ilvl w:val="0"/>
          <w:numId w:val="1"/>
        </w:numPr>
        <w:spacing w:after="120" w:line="276" w:lineRule="auto"/>
        <w:ind w:left="403" w:hanging="403"/>
      </w:pPr>
      <w:r>
        <w:rPr>
          <w:b/>
        </w:rPr>
        <w:t xml:space="preserve">Izlemt, vai līdzekļus ieguldīt pētniecībā un izstrādē, kuras mērķis ir jauns un ar zemām izmaksām saistīts bezoglekļa enerģijas avots.</w:t>
      </w:r>
      <w:r>
        <w:t xml:space="preserve"> </w:t>
      </w:r>
      <w:r>
        <w:t xml:space="preserve">Daži zinātnieki uzskata, ka jauna veida kodolenerģija, piemēram, torija skaldīšanā vai kodolsintēzē iegūta enerģija, būtu labākais enerģijas avots fosilā kurināmā aizstāšanai, un apgalvo, ka šādas tehnoloģijas varētu nodrošināt lētu bezoglekļa elektroenerģiju lielā apjomā.</w:t>
      </w:r>
      <w:r>
        <w:t xml:space="preserve"> </w:t>
      </w:r>
      <w:r>
        <w:t xml:space="preserve">Vairākas ievērojamas universitātes un uzņēmumi pēta jaunus, daudzsološus risinājumus kodolenerģijas jomā.</w:t>
      </w:r>
      <w:r>
        <w:t xml:space="preserve"> </w:t>
      </w:r>
      <w:r>
        <w:t xml:space="preserve">Tomēr šīs jaunās tehnoloģijas pašlaik nav pieejamas, un būs vajadzīgi būtiski ieguldījumi, lai tās kļūtu komerciāli izmantojamas.</w:t>
      </w:r>
    </w:p>
    <w:p w:rsidRPr="007A09A4" w:rsidR="002C1D77" w:rsidP="00290B55" w:rsidRDefault="00DC05B0">
      <w:pPr>
        <w:numPr>
          <w:ilvl w:val="0"/>
          <w:numId w:val="1"/>
        </w:numPr>
        <w:spacing w:after="120" w:line="276" w:lineRule="auto"/>
        <w:ind w:left="403" w:hanging="403"/>
      </w:pPr>
      <w:r>
        <w:rPr>
          <w:b/>
          <w:color w:val="000000"/>
        </w:rPr>
        <w:t xml:space="preserve">Izlemt, vai nozīmīgs progress iespējams oglekļa dioksīda atdalīšanas tehnoloģiju jomā</w:t>
      </w:r>
      <w:r>
        <w:rPr>
          <w:b/>
        </w:rPr>
        <w:t xml:space="preserve">.</w:t>
      </w:r>
      <w:r>
        <w:t xml:space="preserve"> </w:t>
      </w:r>
      <w:r>
        <w:t xml:space="preserve">Jaunajā oglekļa dioksīda atdalīšanas tehnoloģiju jomā tiek meklētas metodes atmosfērā jau nonākušā CO</w:t>
      </w:r>
      <w:r>
        <w:rPr>
          <w:vertAlign w:val="subscript"/>
        </w:rPr>
        <w:t xml:space="preserve">2</w:t>
      </w:r>
      <w:r>
        <w:t xml:space="preserve"> atdalīšanai.</w:t>
      </w:r>
      <w:r>
        <w:t xml:space="preserve"> </w:t>
      </w:r>
      <w:r>
        <w:t xml:space="preserve">Šīs tehnoloģijas ir dažādas, sākot ar lauksaimniecības metožu maiņu, ko varētu īstenot šobrīd, un beidzot ar tādām spekulatīvām un nepārbaudītām tehnoloģijām kā tiešā uztveršana no gaisa.</w:t>
      </w:r>
      <w:r>
        <w:t xml:space="preserve"> </w:t>
      </w:r>
      <w:r>
        <w:t xml:space="preserve">Jūsu grupa var nolemt, ka līdzekļi jāiegulda šajās tehnoloģijās.</w:t>
      </w:r>
    </w:p>
    <w:p w:rsidRPr="007A09A4" w:rsidR="002C1D77" w:rsidP="00290B55" w:rsidRDefault="00DC05B0">
      <w:pPr>
        <w:numPr>
          <w:ilvl w:val="0"/>
          <w:numId w:val="1"/>
        </w:numPr>
        <w:tabs>
          <w:tab w:val="left" w:pos="355"/>
        </w:tabs>
        <w:spacing w:after="120" w:line="276" w:lineRule="auto"/>
        <w:ind w:left="403" w:hanging="403"/>
      </w:pPr>
      <w:r>
        <w:rPr>
          <w:b/>
        </w:rPr>
        <w:t xml:space="preserve">Apsvērt maksas noteikšanu CO</w:t>
      </w:r>
      <w:r>
        <w:rPr>
          <w:b/>
          <w:vertAlign w:val="subscript"/>
        </w:rPr>
        <w:t xml:space="preserve">2</w:t>
      </w:r>
      <w:r>
        <w:rPr>
          <w:b/>
        </w:rPr>
        <w:t xml:space="preserve"> emisijām.</w:t>
      </w:r>
      <w:r>
        <w:t xml:space="preserve"> </w:t>
      </w:r>
      <w:r>
        <w:t xml:space="preserve">Pasaules enerģētikas sistēmā joprojām dominē fosilais kurināmais, un tā izdalītais CO</w:t>
      </w:r>
      <w:r>
        <w:rPr>
          <w:vertAlign w:val="subscript"/>
        </w:rPr>
        <w:t xml:space="preserve">2</w:t>
      </w:r>
      <w:r>
        <w:t xml:space="preserve"> veido vislielāko daļu siltumnīcefekta gāzu emisiju.</w:t>
      </w:r>
      <w:r>
        <w:t xml:space="preserve"> </w:t>
      </w:r>
      <w:r>
        <w:t xml:space="preserve">Ekonomisti ir vienisprātis, ka labākais veids globālo SEG emisiju samazināšanai ir maksas noteikšana oglekļa emisijām.</w:t>
      </w:r>
      <w:r>
        <w:t xml:space="preserve"> </w:t>
      </w:r>
      <w:r>
        <w:t xml:space="preserve">Apsveriet, vai varētu noteikt maksu par oglekli un kā to varētu pakāpeniski ieviest, lai rūpniecībai un patērētājiem būtu laiks pielāgoties.</w:t>
      </w:r>
      <w:r>
        <w:t xml:space="preserve"> </w:t>
      </w:r>
      <w:r>
        <w:t xml:space="preserve">Šie ienākumi varētu nonākt sabiedrības rīcībā, citu politikas pasākumu izmaksu ierobežošanai, jūsu fiskālā deficīta mazināšanai vai arī palīdzības sniegšanai jaunattīstības valstīm emisiju samazināšanas nolūkā.</w:t>
      </w:r>
      <w:r>
        <w:t xml:space="preserve"> </w:t>
      </w:r>
      <w:r>
        <w:t xml:space="preserve">Lai gan dažās jūsu pārstāvētajās valstīs, štatos un reģionos ir ieviesta maksa par oglekli, tā ir nesalīdzināmi zemāka par daudzu ekonomistu ieteikto cenu, t. i., vismaz 30–50 ASV dolāri par CO</w:t>
      </w:r>
      <w:r>
        <w:rPr>
          <w:vertAlign w:val="subscript"/>
        </w:rPr>
        <w:t xml:space="preserve">2</w:t>
      </w:r>
      <w:r>
        <w:t xml:space="preserve"> tonnu.</w:t>
      </w:r>
      <w:r>
        <w:t xml:space="preserve"> </w:t>
      </w:r>
      <w:r>
        <w:t xml:space="preserve">Fosilā kurināmā nozare iebilst pret maksas noteikšanu ogleklim, jo tās uzņēmumi ir cieši saistīti ar šā kurināmā izmantošanu.</w:t>
      </w:r>
    </w:p>
    <w:p w:rsidRPr="000A6D24" w:rsidR="002C1D77" w:rsidP="00290B55" w:rsidRDefault="00DC05B0">
      <w:pPr>
        <w:spacing w:after="120" w:line="276" w:lineRule="auto"/>
        <w:rPr>
          <w:b/>
        </w:rPr>
      </w:pPr>
      <w:r>
        <w:rPr>
          <w:b/>
          <w:color w:val="000000"/>
        </w:rPr>
        <w:t xml:space="preserve">Papildu apsvērumi</w:t>
      </w:r>
    </w:p>
    <w:p w:rsidRPr="004D0CFD" w:rsidR="002C1D77" w:rsidP="000A6D24" w:rsidRDefault="00DC05B0">
      <w:pPr>
        <w:spacing w:after="120" w:line="276" w:lineRule="auto"/>
      </w:pPr>
      <w:r>
        <w:rPr>
          <w:color w:val="000000"/>
        </w:rPr>
        <w:t xml:space="preserve">Jūs atzīstat, ka klimata pārmaiņas ir realitāte un ka pirmām kārtām tās izraisa fosilā kurināmā sadedzināšana, un tas būtiski apdraud cilvēkus visā pasaulē, tostarp jūsu valstī.</w:t>
      </w:r>
      <w:r>
        <w:rPr>
          <w:color w:val="000000"/>
        </w:rPr>
        <w:t xml:space="preserve"> </w:t>
      </w:r>
      <w:r>
        <w:rPr>
          <w:color w:val="000000"/>
        </w:rPr>
        <w:t xml:space="preserve">Klimata pārmaiņas ir faktors, kas ievērojami palielina draudus jūsu valsts drošībai, jo klimata pārmaiņu izraisītie postījumi veicina konfliktus un migrāciju, kas dažās valstīs jau ir radījusi pretreakciju un pret migrantiem vērstas politikas ieviešanu.</w:t>
      </w:r>
    </w:p>
    <w:p w:rsidRPr="004D0CFD" w:rsidR="002C1D77" w:rsidP="000A6D24" w:rsidRDefault="00DC05B0">
      <w:pPr>
        <w:spacing w:after="120" w:line="276" w:lineRule="auto"/>
      </w:pPr>
      <w:r>
        <w:rPr>
          <w:color w:val="000000"/>
        </w:rPr>
        <w:t xml:space="preserve">Tomēr vienlaikus jūsu valstis ir atkarīgas no fosilā kurināmā izmantošanas un jūsu valstis rada 36 % no siltumnīcefekta gāzu emisijas pasaulē un ievērojami lielāku daļu emisiju, kas uzkrātas kopš rūpnieciskās revolūcijas.</w:t>
      </w:r>
      <w:r>
        <w:rPr>
          <w:color w:val="000000"/>
        </w:rPr>
        <w:t xml:space="preserve"> </w:t>
      </w:r>
      <w:r>
        <w:rPr>
          <w:color w:val="000000"/>
        </w:rPr>
        <w:t xml:space="preserve">Dažu jūsu grupas valstu, piemēram, Krievijas (nafta un gāze), Austrālijas (ogles) un Kanādas (nafta no bitumensmiltīm), ekonomika ir atkarīga no fosilā kurināmā eksporta.</w:t>
      </w:r>
      <w:r>
        <w:rPr>
          <w:color w:val="000000"/>
        </w:rPr>
        <w:t xml:space="preserve"> </w:t>
      </w:r>
      <w:r>
        <w:rPr>
          <w:color w:val="000000"/>
        </w:rPr>
        <w:t xml:space="preserve">ASV valdība ir paziņojusi par izstāšanos no 2015. gadā noslēgtā Parīzes nolīguma par klimata pārmaiņām, un ASV federālā valdība atceļ daudzus politiskos pasākumus attiecībā uz klimata pārmaiņu mazināšanu.</w:t>
      </w:r>
      <w:r>
        <w:rPr>
          <w:color w:val="000000"/>
        </w:rPr>
        <w:t xml:space="preserve"> </w:t>
      </w:r>
      <w:r>
        <w:rPr>
          <w:color w:val="000000"/>
        </w:rPr>
        <w:t xml:space="preserve">Vienlaikus </w:t>
      </w:r>
      <w:r>
        <w:rPr>
          <w:rStyle w:val="Bodytext2"/>
        </w:rPr>
        <w:t xml:space="preserve">desmitiem štatu</w:t>
      </w:r>
      <w:r>
        <w:t xml:space="preserve"> </w:t>
      </w:r>
      <w:r>
        <w:rPr>
          <w:color w:val="000000"/>
        </w:rPr>
        <w:t xml:space="preserve">un simtiem pilsētu, apgabalu un uzņēmumu Amerikas Savienotajās Valstīs ir paziņojuši: “</w:t>
      </w:r>
      <w:r>
        <w:rPr>
          <w:rStyle w:val="Bodytext2"/>
        </w:rPr>
        <w:t xml:space="preserve">Mēs joprojām to atbalstām!</w:t>
      </w:r>
      <w:r>
        <w:rPr>
          <w:color w:val="000000"/>
        </w:rPr>
        <w:t xml:space="preserve">”</w:t>
      </w:r>
      <w:r>
        <w:t xml:space="preserve"> </w:t>
      </w:r>
      <w:r>
        <w:rPr>
          <w:color w:val="000000"/>
        </w:rPr>
        <w:t xml:space="preserve">Tie ir apņēmušies izpildīt savu daļu no ASV saistībām vai pat tās pārsniegt.</w:t>
      </w:r>
      <w:r>
        <w:rPr>
          <w:color w:val="000000"/>
        </w:rPr>
        <w:t xml:space="preserve"> </w:t>
      </w:r>
      <w:r>
        <w:rPr>
          <w:color w:val="000000"/>
        </w:rPr>
        <w:t xml:space="preserve">Daudzu valstu valdības un uzņēmumi uzskata, ka klimatam labvēlīga politika ekonomiku ietekmē pozitīvi.</w:t>
      </w:r>
      <w:r>
        <w:rPr>
          <w:color w:val="000000"/>
        </w:rPr>
        <w:t xml:space="preserve"> </w:t>
      </w:r>
      <w:r>
        <w:rPr>
          <w:color w:val="000000"/>
        </w:rPr>
        <w:t xml:space="preserve">Energoefektivitāte un tādi atjaunojamie energoresursi kā saules un vēja enerģija bieži vien ir rentabli, rada darbvietas un uzlabo sabiedrības veselību.</w:t>
      </w:r>
    </w:p>
    <w:p w:rsidRPr="004D0CFD" w:rsidR="002C1D77" w:rsidRDefault="00DC05B0">
      <w:pPr>
        <w:spacing w:line="276" w:lineRule="auto"/>
      </w:pPr>
      <w:r>
        <w:rPr>
          <w:color w:val="000000"/>
        </w:rPr>
        <w:t xml:space="preserve">Jūsu valstis cenšas samazināt savas SEG emisijas, bet jūs redzat, ka Ķīna rada vislielāko šo emisiju daudzumu pasaulē (28 % globālo emisiju) un ka jaunattīstības valstis un strauji augošās jaunietekmes valstis kopā rada aptuveni 65 % globālo emisiju, lai gan emisiju līmenis uz vienu cilvēku šajās valstīs ir zems.</w:t>
      </w:r>
    </w:p>
    <w:sectPr w:rsidRPr="004D0CFD" w:rsidR="002C1D77" w:rsidSect="004D0CFD">
      <w:footerReference w:type="default" r:id="rId9"/>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290B55" w:rsidR="004D0CFD" w:rsidRDefault="004D0CFD">
    <w:pPr>
      <w:pStyle w:val="Footer"/>
      <w:rPr>
        <w:i/>
        <w:sz w:val="18"/>
        <w:szCs w:val="18"/>
      </w:rPr>
    </w:pPr>
    <w:r>
      <w:rPr>
        <w:i/>
        <w:sz w:val="18"/>
        <w:szCs w:val="18"/>
      </w:rPr>
      <w:t xml:space="preserve">Izstrādātāji: Climate Interactive, MIT Sloan School of Management Sustainability Initiative, ESB Business School un UMass Lowell Climate Change Initiative.</w:t>
    </w:r>
    <w:r>
      <w:rPr>
        <w:i/>
        <w:sz w:val="18"/>
        <w:szCs w:val="18"/>
      </w:rPr>
      <w:t xml:space="preserve"> </w:t>
    </w:r>
    <w:r>
      <w:rPr>
        <w:i/>
        <w:sz w:val="18"/>
        <w:szCs w:val="18"/>
      </w:rPr>
      <w:t xml:space="preserve">Pēdējo reizi atjaunināts 2019. gada septembrī.</w:t>
    </w:r>
    <w:r>
      <w:rPr>
        <w:i/>
        <w:sz w:val="18"/>
        <w:szCs w:val="18"/>
      </w:rPr>
      <w:t xml:space="preserve"> </w:t>
    </w:r>
    <w:hyperlink w:history="1" r:id="rId1">
      <w:r>
        <w:rPr>
          <w:rStyle w:val="Hyperlink"/>
          <w:i/>
          <w:sz w:val="18"/>
          <w:szCs w:val="18"/>
        </w:rPr>
        <w:t xml:space="preserve">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290B55"/>
    <w:rsid w:val="002C1D77"/>
    <w:rsid w:val="004D0CFD"/>
    <w:rsid w:val="00571732"/>
    <w:rsid w:val="005C1752"/>
    <w:rsid w:val="006D3A3F"/>
    <w:rsid w:val="007412A6"/>
    <w:rsid w:val="007835BC"/>
    <w:rsid w:val="007A09A4"/>
    <w:rsid w:val="0091067F"/>
    <w:rsid w:val="00A26097"/>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v-LV"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FD"/>
    <w:pPr>
      <w:widowControl/>
      <w:spacing w:line="288" w:lineRule="auto"/>
      <w:jc w:val="both"/>
    </w:pPr>
    <w:rPr>
      <w:sz w:val="22"/>
      <w:szCs w:val="22"/>
      <w:lang w:val="lv-LV"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lv-LV"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lv-LV"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lv-LV"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lv-LV"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lv-LV"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lv-LV"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lv-LV"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lv-LV"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FD"/>
    <w:pPr>
      <w:widowControl/>
      <w:spacing w:line="288" w:lineRule="auto"/>
      <w:jc w:val="both"/>
    </w:pPr>
    <w:rPr>
      <w:sz w:val="22"/>
      <w:szCs w:val="22"/>
      <w:lang w:val="en-GB"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n-US"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n-US"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en-US"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&#65279;<?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CTJJHAUHWN5E-644613129-2927</_dlc_DocId>
    <_dlc_DocIdUrl xmlns="bfc960a6-20da-4c94-8684-71380fca093b">
      <Url>http://dm2016/eesc/2019/_layouts/15/DocIdRedir.aspx?ID=CTJJHAUHWN5E-644613129-2927</Url>
      <Description>CTJJHAUHWN5E-644613129-2927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152</Value>
      <Value>62</Value>
      <Value>60</Value>
      <Value>59</Value>
      <Value>63</Value>
      <Value>56</Value>
      <Value>55</Value>
      <Value>52</Value>
      <Value>49</Value>
      <Value>48</Value>
      <Value>46</Value>
      <Value>45</Value>
      <Value>38</Value>
      <Value>65</Value>
      <Value>153</Value>
      <Value>25</Value>
      <Value>21</Value>
      <Value>58</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E68FAD-F9DA-44C0-B264-BAE3E11BC6EF}"/>
</file>

<file path=customXml/itemProps2.xml><?xml version="1.0" encoding="utf-8"?>
<ds:datastoreItem xmlns:ds="http://schemas.openxmlformats.org/officeDocument/2006/customXml" ds:itemID="{FCC879E1-1086-4442-BF0E-BCF83B1953F4}"/>
</file>

<file path=customXml/itemProps3.xml><?xml version="1.0" encoding="utf-8"?>
<ds:datastoreItem xmlns:ds="http://schemas.openxmlformats.org/officeDocument/2006/customXml" ds:itemID="{D1BD6B30-A54B-4259-B038-14B78E85A005}"/>
</file>

<file path=customXml/itemProps4.xml><?xml version="1.0" encoding="utf-8"?>
<ds:datastoreItem xmlns:ds="http://schemas.openxmlformats.org/officeDocument/2006/customXml" ds:itemID="{6345A0B9-20D8-4645-901C-062544E539E3}"/>
</file>

<file path=docProps/app.xml><?xml version="1.0" encoding="utf-8"?>
<Properties xmlns="http://schemas.openxmlformats.org/officeDocument/2006/extended-properties" xmlns:vt="http://schemas.openxmlformats.org/officeDocument/2006/docPropsVTypes">
  <Template>Styles</Template>
  <TotalTime>3</TotalTime>
  <Pages>1</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"Jūsu Eiropa, jūsu lēmumi 2020" - Darba dokuments - VIA grupa - Attīstītās valstis</dc:title>
  <cp:keywords>EESC-2019-05163-05-00-INFO-TRA-EN</cp:keywords>
  <dc:description>Rapporteur:  - Original language: EN - Date of document: 10/12/2019 - Date of meeting:  - External documents:  - Administrator: MME LAHOUSSE Chloé</dc:description>
  <cp:lastModifiedBy>TDriveSVCUserProd</cp:lastModifiedBy>
  <cp:revision>4</cp:revision>
  <dcterms:created xsi:type="dcterms:W3CDTF">2019-11-15T11:30:00Z</dcterms:created>
  <dcterms:modified xsi:type="dcterms:W3CDTF">2019-11-15T11:34:00Z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93b527f4-cca1-4de9-9ffc-40bb098751eb</vt:lpwstr>
  </property>
  <property fmtid="{D5CDD505-2E9C-101B-9397-08002B2CF9AE}" pid="9" name="AvailableTranslations">
    <vt:lpwstr>63;#MT|7df99101-6854-4a26-b53a-b88c0da02c26;#152;#MK|34ce48bb-063e-4413-a932-50853dc71c5c;#162;#TR|6e4ededd-04c4-4fa0-94e0-1028050302d5;#64;#PT|50ccc04a-eadd-42ae-a0cb-acaf45f812ba;#16;#PL|1e03da61-4678-4e07-b136-b5024ca9197b;#25;#SK|46d9fce0-ef79-4f71-b89b-cd6aa82426b8;#62;#FI|87606a43-d45f-42d6-b8c9-e1a3457db5b7;#72;#GA|762d2456-c427-4ecb-b312-af3dad8e258c;#58;#LV|46f7e311-5d9f-4663-b433-18aeccb7ace7;#65;#ET|ff6c3f4c-b02c-4c3c-ab07-2c37995a7a0a;#14;#DE|f6b31e5a-26fa-4935-b661-318e46daf27e;#154;#SQ|5ac17240-8d11-45ec-9893-659b209d7a00;#46;#CS|72f9705b-0217-4fd3-bea2-cbc7ed80e26e;#48;#LT|a7ff5ce7-6123-4f68-865a-a57c31810414;#56;#SL|98a412ae-eb01-49e9-ae3d-585a81724cfc;#4;#EN|f2175f21-25d7-44a3-96da-d6a61b075e1b;#59;#HR|2f555653-ed1a-4fe6-8362-9082d95989e5;#52;#DA|5d49c027-8956-412b-aa16-e85a0f96ad0e;#10;#FR|d2afafd3-4c81-4f60-8f52-ee33f2f54ff3;#49;#EL|6d4f4d51-af9b-4650-94b4-4276bee85c91;#45;#NL|55c6556c-b4f4-441d-9acf-c498d4f838bd;#17;#ES|e7a6b05b-ae16-40c8-add9-68b64b03aeba;#153;#SR|7f3a1d13-b985-4bfd-981e-afe31377edff;#55;#BG|1a1b3951-7821-4e6a-85f5-5673fc08bd2c;#38;#SV|c2ed69e7-a339-43d7-8f22-d93680a92aa0;#246;#ME|925b3da5-5ac0-4b3c-928c-6ef66a5c9b3c;#21;#IT|0774613c-01ed-4e5d-a25d-11d2388de825;#60;#HU|6b229040-c589-4408-b4c1-4285663d20a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PT|50ccc04a-eadd-42ae-a0cb-acaf45f812ba;PL|1e03da61-4678-4e07-b136-b5024ca9197b;SK|46d9fce0-ef79-4f71-b89b-cd6aa82426b8;FI|87606a43-d45f-42d6-b8c9-e1a3457db5b7;SQ|5ac17240-8d11-45ec-9893-659b209d7a00;LT|a7ff5ce7-6123-4f68-865a-a57c31810414;SL|98a412ae-eb01-49e9-ae3d-585a81724cfc;EN|f2175f21-25d7-44a3-96da-d6a61b075e1b;HR|2f555653-ed1a-4fe6-8362-9082d95989e5;DA|5d49c027-8956-412b-aa16-e85a0f96ad0e;FR|d2afafd3-4c81-4f60-8f52-ee33f2f54ff3;EL|6d4f4d51-af9b-4650-94b4-4276bee85c91;NL|55c6556c-b4f4-441d-9acf-c498d4f838bd;ES|e7a6b05b-ae16-40c8-add9-68b64b03aeba;SR|7f3a1d13-b985-4bfd-981e-afe31377edff;BG|1a1b3951-7821-4e6a-85f5-5673fc08bd2c;SV|c2ed69e7-a339-43d7-8f22-d93680a92aa0;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64;#PT|50ccc04a-eadd-42ae-a0cb-acaf45f812ba;#152;#MK|34ce48bb-063e-4413-a932-50853dc71c5c;#62;#FI|87606a43-d45f-42d6-b8c9-e1a3457db5b7;#59;#HR|2f555653-ed1a-4fe6-8362-9082d95989e5;#56;#SL|98a412ae-eb01-49e9-ae3d-585a81724cfc;#55;#BG|1a1b3951-7821-4e6a-85f5-5673fc08bd2c;#52;#DA|5d49c027-8956-412b-aa16-e85a0f96ad0e;#49;#EL|6d4f4d51-af9b-4650-94b4-4276bee85c91;#48;#LT|a7ff5ce7-6123-4f68-865a-a57c31810414;#45;#NL|55c6556c-b4f4-441d-9acf-c498d4f838bd;#38;#SV|c2ed69e7-a339-43d7-8f22-d93680a92aa0;#63;#MT|7df99101-6854-4a26-b53a-b88c0da02c26;#153;#SR|7f3a1d13-b985-4bfd-981e-afe31377edff;#25;#SK|46d9fce0-ef79-4f71-b89b-cd6aa82426b8;#21;#IT|0774613c-01ed-4e5d-a25d-11d2388de825;#17;#ES|e7a6b05b-ae16-40c8-add9-68b64b03aeba;#16;#PL|1e03da61-4678-4e07-b136-b5024ca9197b;#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58;#LV|46f7e311-5d9f-4663-b433-18aeccb7ace7</vt:lpwstr>
  </property>
</Properties>
</file>